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3E" w:rsidRPr="0064563E" w:rsidRDefault="0064563E" w:rsidP="0064563E">
      <w:pPr>
        <w:autoSpaceDE w:val="0"/>
        <w:autoSpaceDN w:val="0"/>
        <w:adjustRightInd w:val="0"/>
        <w:jc w:val="both"/>
        <w:rPr>
          <w:rFonts w:ascii="Tw Cen MT" w:hAnsi="Tw Cen MT" w:cs="TimesNewRomanPSMT"/>
          <w:i/>
        </w:rPr>
      </w:pPr>
      <w:r w:rsidRPr="0064563E">
        <w:rPr>
          <w:rFonts w:ascii="Tw Cen MT" w:hAnsi="Tw Cen MT" w:cs="TimesNewRomanPSMT"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1233805</wp:posOffset>
                </wp:positionV>
                <wp:extent cx="4829175" cy="121920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63E" w:rsidRDefault="0064563E">
                            <w:pPr>
                              <w:rPr>
                                <w:rFonts w:ascii="Tw Cen MT" w:hAnsi="Tw Cen MT" w:cs="TimesNewRomanPSMT"/>
                                <w:i/>
                              </w:rPr>
                            </w:pPr>
                            <w:r w:rsidRPr="00407321">
                              <w:rPr>
                                <w:rFonts w:ascii="Tw Cen MT" w:hAnsi="Tw Cen MT" w:cs="TimesNewRomanPSMT"/>
                                <w:i/>
                              </w:rPr>
                              <w:t>Septembre 2017</w:t>
                            </w:r>
                            <w:r>
                              <w:rPr>
                                <w:rFonts w:ascii="Tw Cen MT" w:hAnsi="Tw Cen MT" w:cs="TimesNewRomanPSMT"/>
                                <w:i/>
                              </w:rPr>
                              <w:t>- proposition de question écrite</w:t>
                            </w:r>
                          </w:p>
                          <w:p w:rsidR="0064563E" w:rsidRDefault="0064563E">
                            <w:pPr>
                              <w:rPr>
                                <w:rFonts w:ascii="Tw Cen MT" w:hAnsi="Tw Cen MT" w:cs="TimesNewRomanPSMT"/>
                                <w:i/>
                              </w:rPr>
                            </w:pPr>
                          </w:p>
                          <w:p w:rsidR="0064563E" w:rsidRDefault="0064563E">
                            <w:pPr>
                              <w:rPr>
                                <w:rFonts w:ascii="Tw Cen MT" w:hAnsi="Tw Cen MT" w:cs="TimesNewRomanPSMT"/>
                                <w:i/>
                              </w:rPr>
                            </w:pPr>
                          </w:p>
                          <w:p w:rsidR="0064563E" w:rsidRDefault="0064563E">
                            <w:pPr>
                              <w:rPr>
                                <w:rFonts w:ascii="Tw Cen MT" w:hAnsi="Tw Cen MT" w:cs="TimesNewRomanPSMT"/>
                                <w:i/>
                              </w:rPr>
                            </w:pPr>
                          </w:p>
                          <w:p w:rsidR="0064563E" w:rsidRDefault="0064563E" w:rsidP="0064563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w Cen MT" w:hAnsi="Tw Cen MT" w:cs="TimesNewRomanPSMT"/>
                              </w:rPr>
                            </w:pPr>
                            <w:r>
                              <w:rPr>
                                <w:rFonts w:ascii="Tw Cen MT" w:hAnsi="Tw Cen MT" w:cs="TimesNewRomanPSMT"/>
                              </w:rPr>
                              <w:t>XY interroge la ministre de la Justice sur le dr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w Cen MT" w:hAnsi="Tw Cen MT" w:cs="TimesNewRomanPSMT"/>
                              </w:rPr>
                              <w:t>oit au boycott, un droit menacé en France.</w:t>
                            </w:r>
                          </w:p>
                          <w:p w:rsidR="0064563E" w:rsidRDefault="006456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9.05pt;margin-top:97.15pt;width:380.25pt;height:9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uSJgIAACMEAAAOAAAAZHJzL2Uyb0RvYy54bWysU02P0zAQvSPxHyzfaZqopduo6WrpUoS0&#10;fEgLF26u7TQWtsfYbpPy6xk73W6BGyIHayYz8zzz5nl1OxhNjtIHBbah5WRKibQchLL7hn79sn11&#10;Q0mIzAqmwcqGnmSgt+uXL1a9q2UFHWghPUEQG+reNbSL0dVFEXgnDQsTcNJisAVvWETX7wvhWY/o&#10;RhfVdPq66MEL54HLEPDv/Rik64zftpLHT20bZCS6odhbzKfP5y6dxXrF6r1nrlP83Ab7hy4MUxYv&#10;vUDds8jIwau/oIziHgK0ccLBFNC2iss8A05TTv+Y5rFjTuZZkJzgLjSF/wfLPx4/e6JEQ6tyQYll&#10;Bpf0DVdFhCRRDlGSKpHUu1Bj7qPD7Di8gQGXnQcO7gH490AsbDpm9/LOe+g7yQQ2WabK4qp0xAkJ&#10;ZNd/AIF3sUOEDDS03iQGkROC6Lis02VB2Afh+HN2Uy3LxZwSjrGyKpcogXwHq5/KnQ/xnQRDktFQ&#10;jwrI8Oz4EGJqh9VPKem2AFqJrdI6O36/22hPjgzVss3fGf23NG1J39DlvJpnZAupPgvJqIhq1so0&#10;9GaavlTO6kTHWyuyHZnSo42daHvmJ1EykhOH3YCJibQdiBMy5WFULb4yNDrwPynpUbENDT8OzEtK&#10;9HuLbC/L2SxJPDuz+aJCx19HdtcRZjlCNTRSMpqbmJ9F6tfCHW6lVZmv507OvaISM43nV5Okfu3n&#10;rOe3vf4FAAD//wMAUEsDBBQABgAIAAAAIQBHPtGN3QAAAAgBAAAPAAAAZHJzL2Rvd25yZXYueG1s&#10;TI9BT4NAEIXvJv6HzZh4MXZRWmiRpVETjdfW/oABpkBkZwm7LfTfO57s8c2bvPe9fDvbXp1p9J1j&#10;A0+LCBRx5eqOGwOH74/HNSgfkGvsHZOBC3nYFrc3OWa1m3hH531olISwz9BAG8KQae2rliz6hRuI&#10;xTu60WIQOTa6HnGScNvr5yhKtMWOpaHFgd5bqn72J2vg+DU9rDZT+RkO6W6ZvGGXlu5izP3d/PoC&#10;KtAc/p/hD1/QoRCm0p249qo3IEOCXDfLGJTYaRKtQJUG4nUSgy5yfT2g+AUAAP//AwBQSwECLQAU&#10;AAYACAAAACEAtoM4kv4AAADhAQAAEwAAAAAAAAAAAAAAAAAAAAAAW0NvbnRlbnRfVHlwZXNdLnht&#10;bFBLAQItABQABgAIAAAAIQA4/SH/1gAAAJQBAAALAAAAAAAAAAAAAAAAAC8BAABfcmVscy8ucmVs&#10;c1BLAQItABQABgAIAAAAIQDBOiuSJgIAACMEAAAOAAAAAAAAAAAAAAAAAC4CAABkcnMvZTJvRG9j&#10;LnhtbFBLAQItABQABgAIAAAAIQBHPtGN3QAAAAgBAAAPAAAAAAAAAAAAAAAAAIAEAABkcnMvZG93&#10;bnJldi54bWxQSwUGAAAAAAQABADzAAAAigUAAAAA&#10;" stroked="f">
                <v:textbox>
                  <w:txbxContent>
                    <w:p w:rsidR="0064563E" w:rsidRDefault="0064563E">
                      <w:pPr>
                        <w:rPr>
                          <w:rFonts w:ascii="Tw Cen MT" w:hAnsi="Tw Cen MT" w:cs="TimesNewRomanPSMT"/>
                          <w:i/>
                        </w:rPr>
                      </w:pPr>
                      <w:r w:rsidRPr="00407321">
                        <w:rPr>
                          <w:rFonts w:ascii="Tw Cen MT" w:hAnsi="Tw Cen MT" w:cs="TimesNewRomanPSMT"/>
                          <w:i/>
                        </w:rPr>
                        <w:t>Septembre 2017</w:t>
                      </w:r>
                      <w:r>
                        <w:rPr>
                          <w:rFonts w:ascii="Tw Cen MT" w:hAnsi="Tw Cen MT" w:cs="TimesNewRomanPSMT"/>
                          <w:i/>
                        </w:rPr>
                        <w:t>- proposition de question écrite</w:t>
                      </w:r>
                    </w:p>
                    <w:p w:rsidR="0064563E" w:rsidRDefault="0064563E">
                      <w:pPr>
                        <w:rPr>
                          <w:rFonts w:ascii="Tw Cen MT" w:hAnsi="Tw Cen MT" w:cs="TimesNewRomanPSMT"/>
                          <w:i/>
                        </w:rPr>
                      </w:pPr>
                    </w:p>
                    <w:p w:rsidR="0064563E" w:rsidRDefault="0064563E">
                      <w:pPr>
                        <w:rPr>
                          <w:rFonts w:ascii="Tw Cen MT" w:hAnsi="Tw Cen MT" w:cs="TimesNewRomanPSMT"/>
                          <w:i/>
                        </w:rPr>
                      </w:pPr>
                    </w:p>
                    <w:p w:rsidR="0064563E" w:rsidRDefault="0064563E">
                      <w:pPr>
                        <w:rPr>
                          <w:rFonts w:ascii="Tw Cen MT" w:hAnsi="Tw Cen MT" w:cs="TimesNewRomanPSMT"/>
                          <w:i/>
                        </w:rPr>
                      </w:pPr>
                    </w:p>
                    <w:p w:rsidR="0064563E" w:rsidRDefault="0064563E" w:rsidP="0064563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w Cen MT" w:hAnsi="Tw Cen MT" w:cs="TimesNewRomanPSMT"/>
                        </w:rPr>
                      </w:pPr>
                      <w:r>
                        <w:rPr>
                          <w:rFonts w:ascii="Tw Cen MT" w:hAnsi="Tw Cen MT" w:cs="TimesNewRomanPSMT"/>
                        </w:rPr>
                        <w:t>XY interroge la ministre de la Justice sur le dr</w:t>
                      </w:r>
                      <w:bookmarkStart w:id="1" w:name="_GoBack"/>
                      <w:bookmarkEnd w:id="1"/>
                      <w:r>
                        <w:rPr>
                          <w:rFonts w:ascii="Tw Cen MT" w:hAnsi="Tw Cen MT" w:cs="TimesNewRomanPSMT"/>
                        </w:rPr>
                        <w:t>oit au boycott, un droit menacé en France.</w:t>
                      </w:r>
                    </w:p>
                    <w:p w:rsidR="0064563E" w:rsidRDefault="0064563E"/>
                  </w:txbxContent>
                </v:textbox>
                <w10:wrap type="square" anchorx="margin"/>
              </v:shape>
            </w:pict>
          </mc:Fallback>
        </mc:AlternateContent>
      </w:r>
      <w:r w:rsidR="00410B71">
        <w:rPr>
          <w:noProof/>
          <w:lang w:eastAsia="fr-FR"/>
        </w:rPr>
        <w:drawing>
          <wp:inline distT="0" distB="0" distL="0" distR="0" wp14:anchorId="14AC83A5" wp14:editId="3943205E">
            <wp:extent cx="1261745" cy="219480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P-logo-coordonnés-TDL-2014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294" cy="220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563E">
        <w:rPr>
          <w:rFonts w:ascii="Tw Cen MT" w:hAnsi="Tw Cen MT" w:cs="TimesNewRomanPSMT"/>
          <w:i/>
        </w:rPr>
        <w:t xml:space="preserve"> </w:t>
      </w:r>
    </w:p>
    <w:p w:rsidR="0064563E" w:rsidRDefault="0064563E" w:rsidP="0064563E">
      <w:pPr>
        <w:autoSpaceDE w:val="0"/>
        <w:autoSpaceDN w:val="0"/>
        <w:adjustRightInd w:val="0"/>
        <w:jc w:val="both"/>
        <w:rPr>
          <w:rFonts w:ascii="Tw Cen MT" w:hAnsi="Tw Cen MT" w:cs="TimesNewRomanPSMT"/>
        </w:rPr>
      </w:pPr>
    </w:p>
    <w:p w:rsidR="0064563E" w:rsidRDefault="0064563E" w:rsidP="0064563E">
      <w:pPr>
        <w:autoSpaceDE w:val="0"/>
        <w:autoSpaceDN w:val="0"/>
        <w:adjustRightInd w:val="0"/>
        <w:jc w:val="both"/>
        <w:rPr>
          <w:rFonts w:ascii="Tw Cen MT" w:hAnsi="Tw Cen MT" w:cs="TimesNewRomanPSMT"/>
        </w:rPr>
      </w:pPr>
    </w:p>
    <w:p w:rsidR="0064563E" w:rsidRPr="001C6C02" w:rsidRDefault="0064563E" w:rsidP="0064563E">
      <w:pPr>
        <w:autoSpaceDE w:val="0"/>
        <w:autoSpaceDN w:val="0"/>
        <w:adjustRightInd w:val="0"/>
        <w:jc w:val="both"/>
        <w:rPr>
          <w:rFonts w:ascii="Tw Cen MT" w:hAnsi="Tw Cen MT" w:cs="TimesNewRomanPSMT"/>
        </w:rPr>
      </w:pPr>
      <w:r w:rsidRPr="001C6C02">
        <w:rPr>
          <w:rFonts w:ascii="Tw Cen MT" w:hAnsi="Tw Cen MT" w:cs="TimesNewRomanPSMT"/>
        </w:rPr>
        <w:t xml:space="preserve">Face à l’impunité des autorités israéliennes et l’inaction de la communauté internationale, les sociétés civiles et </w:t>
      </w:r>
      <w:r>
        <w:rPr>
          <w:rFonts w:ascii="Tw Cen MT" w:hAnsi="Tw Cen MT" w:cs="TimesNewRomanPSMT"/>
        </w:rPr>
        <w:t xml:space="preserve">les </w:t>
      </w:r>
      <w:r w:rsidRPr="001C6C02">
        <w:rPr>
          <w:rFonts w:ascii="Tw Cen MT" w:hAnsi="Tw Cen MT" w:cs="TimesNewRomanPSMT"/>
        </w:rPr>
        <w:t xml:space="preserve">citoyens usent de leur liberté d’expression pour faire pression sur </w:t>
      </w:r>
      <w:r>
        <w:rPr>
          <w:rFonts w:ascii="Tw Cen MT" w:hAnsi="Tw Cen MT" w:cs="TimesNewRomanPSMT"/>
        </w:rPr>
        <w:t>les autorités israéliennes afin qu’elles</w:t>
      </w:r>
      <w:r w:rsidRPr="001C6C02">
        <w:rPr>
          <w:rFonts w:ascii="Tw Cen MT" w:hAnsi="Tw Cen MT" w:cs="TimesNewRomanPSMT"/>
        </w:rPr>
        <w:t xml:space="preserve"> se plie</w:t>
      </w:r>
      <w:r>
        <w:rPr>
          <w:rFonts w:ascii="Tw Cen MT" w:hAnsi="Tw Cen MT" w:cs="TimesNewRomanPSMT"/>
        </w:rPr>
        <w:t>nt</w:t>
      </w:r>
      <w:r w:rsidRPr="001C6C02">
        <w:rPr>
          <w:rFonts w:ascii="Tw Cen MT" w:hAnsi="Tw Cen MT" w:cs="TimesNewRomanPSMT"/>
        </w:rPr>
        <w:t xml:space="preserve"> au droit international ; notamment en appelant au boycott, au désinvestissement et aux sanctions contre l’Etat d’Israël. Un droit menacé en France.</w:t>
      </w:r>
    </w:p>
    <w:p w:rsidR="0064563E" w:rsidRDefault="0064563E" w:rsidP="0064563E">
      <w:pPr>
        <w:autoSpaceDE w:val="0"/>
        <w:autoSpaceDN w:val="0"/>
        <w:adjustRightInd w:val="0"/>
        <w:jc w:val="both"/>
        <w:rPr>
          <w:rFonts w:ascii="Tw Cen MT" w:hAnsi="Tw Cen MT" w:cs="TimesNewRomanPSMT"/>
        </w:rPr>
      </w:pPr>
    </w:p>
    <w:p w:rsidR="0064563E" w:rsidRPr="009B4A3A" w:rsidRDefault="0064563E" w:rsidP="0064563E">
      <w:pPr>
        <w:autoSpaceDE w:val="0"/>
        <w:autoSpaceDN w:val="0"/>
        <w:adjustRightInd w:val="0"/>
        <w:jc w:val="both"/>
        <w:rPr>
          <w:rFonts w:ascii="Tw Cen MT" w:hAnsi="Tw Cen MT" w:cs="TimesNewRomanPSMT"/>
        </w:rPr>
      </w:pPr>
      <w:r w:rsidRPr="009B4A3A">
        <w:rPr>
          <w:rFonts w:ascii="Tw Cen MT" w:hAnsi="Tw Cen MT" w:cs="TimesNewRomanPSMT"/>
        </w:rPr>
        <w:t xml:space="preserve">Le mouvement BDS (Boycott – Désinvestissement – Sanctions) </w:t>
      </w:r>
      <w:r w:rsidRPr="009B4A3A">
        <w:rPr>
          <w:rFonts w:ascii="Tw Cen MT" w:hAnsi="Tw Cen MT" w:cs="Calibri"/>
          <w:lang w:val="fr"/>
        </w:rPr>
        <w:t xml:space="preserve">est un mouvement non-violent lancé </w:t>
      </w:r>
      <w:r>
        <w:rPr>
          <w:rFonts w:ascii="Tw Cen MT" w:hAnsi="Tw Cen MT" w:cs="Calibri"/>
          <w:lang w:val="fr"/>
        </w:rPr>
        <w:t>en 2005</w:t>
      </w:r>
      <w:r w:rsidRPr="009B4A3A">
        <w:rPr>
          <w:rFonts w:ascii="Tw Cen MT" w:hAnsi="Tw Cen MT" w:cs="Calibri"/>
          <w:lang w:val="fr"/>
        </w:rPr>
        <w:t xml:space="preserve"> à l’appel de la société civile palestinienne, inspiré du boycott de l’Afrique du Sud sous apartheid ou encore du mouvement pour les droits civiques aux Etats-Unis. Il vise </w:t>
      </w:r>
      <w:r>
        <w:rPr>
          <w:rFonts w:ascii="Tw Cen MT" w:hAnsi="Tw Cen MT" w:cs="Calibri"/>
          <w:lang w:val="fr"/>
        </w:rPr>
        <w:t>au respect du droit international par Israël</w:t>
      </w:r>
      <w:r w:rsidRPr="009B4A3A">
        <w:rPr>
          <w:rFonts w:ascii="Tw Cen MT" w:hAnsi="Tw Cen MT" w:cs="Calibri"/>
          <w:lang w:val="fr"/>
        </w:rPr>
        <w:t xml:space="preserve"> </w:t>
      </w:r>
      <w:r>
        <w:rPr>
          <w:rFonts w:ascii="Tw Cen MT" w:hAnsi="Tw Cen MT" w:cs="Calibri"/>
          <w:lang w:val="fr"/>
        </w:rPr>
        <w:t>au moyen d’un</w:t>
      </w:r>
      <w:r w:rsidRPr="009B4A3A">
        <w:rPr>
          <w:rFonts w:ascii="Tw Cen MT" w:hAnsi="Tw Cen MT" w:cs="Calibri"/>
          <w:lang w:val="fr"/>
        </w:rPr>
        <w:t xml:space="preserve"> boycott, désin</w:t>
      </w:r>
      <w:r>
        <w:rPr>
          <w:rFonts w:ascii="Tw Cen MT" w:hAnsi="Tw Cen MT" w:cs="Calibri"/>
          <w:lang w:val="fr"/>
        </w:rPr>
        <w:t>vestissement, et de sanctions à l’encontre des institutions israéliennes et entreprises complices dans la violation des droits des Palestiniens</w:t>
      </w:r>
      <w:r w:rsidRPr="009B4A3A">
        <w:rPr>
          <w:rFonts w:ascii="Tw Cen MT" w:hAnsi="Tw Cen MT" w:cs="Calibri"/>
          <w:lang w:val="fr"/>
        </w:rPr>
        <w:t xml:space="preserve">. Son action poursuit un but légitime et en accord avec le droit, souligné par de nombreuses organisations internationales dont la </w:t>
      </w:r>
      <w:hyperlink r:id="rId9" w:history="1">
        <w:r w:rsidRPr="009B4A3A">
          <w:rPr>
            <w:rStyle w:val="Lienhypertexte"/>
            <w:rFonts w:ascii="Tw Cen MT" w:hAnsi="Tw Cen MT" w:cs="Calibri"/>
            <w:lang w:val="fr"/>
          </w:rPr>
          <w:t>Fédération Internationale des Droits de l’Homme</w:t>
        </w:r>
      </w:hyperlink>
      <w:r w:rsidRPr="009B4A3A">
        <w:rPr>
          <w:rFonts w:ascii="Tw Cen MT" w:hAnsi="Tw Cen MT" w:cs="Calibri"/>
          <w:lang w:val="fr"/>
        </w:rPr>
        <w:t xml:space="preserve"> (FIDH)</w:t>
      </w:r>
      <w:r>
        <w:rPr>
          <w:rFonts w:ascii="Tw Cen MT" w:hAnsi="Tw Cen MT" w:cs="Calibri"/>
          <w:lang w:val="fr"/>
        </w:rPr>
        <w:t xml:space="preserve"> et</w:t>
      </w:r>
      <w:r w:rsidRPr="009B4A3A">
        <w:rPr>
          <w:rFonts w:ascii="Tw Cen MT" w:hAnsi="Tw Cen MT" w:cs="Calibri"/>
          <w:lang w:val="fr"/>
        </w:rPr>
        <w:t xml:space="preserve"> </w:t>
      </w:r>
      <w:hyperlink r:id="rId10" w:history="1">
        <w:r w:rsidRPr="009B4A3A">
          <w:rPr>
            <w:rStyle w:val="Lienhypertexte"/>
            <w:rFonts w:ascii="Tw Cen MT" w:hAnsi="Tw Cen MT" w:cs="Calibri"/>
            <w:lang w:val="fr"/>
          </w:rPr>
          <w:t>Amnesty International</w:t>
        </w:r>
      </w:hyperlink>
      <w:r>
        <w:rPr>
          <w:rFonts w:ascii="Tw Cen MT" w:hAnsi="Tw Cen MT" w:cs="Calibri"/>
          <w:lang w:val="fr"/>
        </w:rPr>
        <w:t>.</w:t>
      </w:r>
    </w:p>
    <w:p w:rsidR="0064563E" w:rsidRPr="009B4A3A" w:rsidRDefault="0064563E" w:rsidP="0064563E">
      <w:pPr>
        <w:autoSpaceDE w:val="0"/>
        <w:autoSpaceDN w:val="0"/>
        <w:adjustRightInd w:val="0"/>
        <w:jc w:val="both"/>
        <w:rPr>
          <w:rFonts w:ascii="Tw Cen MT" w:hAnsi="Tw Cen MT" w:cs="TimesNewRomanPSMT"/>
        </w:rPr>
      </w:pPr>
    </w:p>
    <w:p w:rsidR="0064563E" w:rsidRPr="009B4A3A" w:rsidRDefault="0064563E" w:rsidP="0064563E">
      <w:pPr>
        <w:autoSpaceDE w:val="0"/>
        <w:autoSpaceDN w:val="0"/>
        <w:adjustRightInd w:val="0"/>
        <w:jc w:val="both"/>
        <w:rPr>
          <w:rFonts w:ascii="Tw Cen MT" w:hAnsi="Tw Cen MT" w:cs="TimesNewRomanPSMT"/>
        </w:rPr>
      </w:pPr>
      <w:r w:rsidRPr="009B4A3A">
        <w:rPr>
          <w:rFonts w:ascii="Tw Cen MT" w:hAnsi="Tw Cen MT" w:cs="TimesNewRomanPSMT"/>
        </w:rPr>
        <w:t xml:space="preserve">La pratique du BDS est en outre reconnue par les Nations Unies et plusieurs défenseurs des droits humains et rapporteurs spéciaux de l’ONU ont </w:t>
      </w:r>
      <w:r w:rsidRPr="00154700">
        <w:rPr>
          <w:rFonts w:ascii="Tw Cen MT" w:hAnsi="Tw Cen MT" w:cs="TimesNewRomanPSMT"/>
        </w:rPr>
        <w:t>estimé</w:t>
      </w:r>
      <w:r w:rsidRPr="009B4A3A">
        <w:rPr>
          <w:rFonts w:ascii="Tw Cen MT" w:hAnsi="Tw Cen MT" w:cs="TimesNewRomanPSMT"/>
        </w:rPr>
        <w:t xml:space="preserve"> que la loi israélienne qualifiant l’appel au boycott d’Israël de délit </w:t>
      </w:r>
      <w:hyperlink r:id="rId11" w:anchor="nh7" w:history="1">
        <w:r w:rsidRPr="00154700">
          <w:rPr>
            <w:rStyle w:val="Lienhypertexte"/>
            <w:rFonts w:ascii="Tw Cen MT" w:hAnsi="Tw Cen MT" w:cs="TimesNewRomanPSMT"/>
          </w:rPr>
          <w:t>« viole le droit à la liberté d’opinion et d’expression »</w:t>
        </w:r>
      </w:hyperlink>
      <w:r w:rsidRPr="009B4A3A">
        <w:rPr>
          <w:rFonts w:ascii="Tw Cen MT" w:hAnsi="Tw Cen MT" w:cs="TimesNewRomanPSMT"/>
        </w:rPr>
        <w:t>.</w:t>
      </w:r>
      <w:r w:rsidRPr="009B4A3A">
        <w:rPr>
          <w:rStyle w:val="lev"/>
          <w:rFonts w:ascii="Tw Cen MT" w:hAnsi="Tw Cen MT"/>
        </w:rPr>
        <w:t xml:space="preserve"> </w:t>
      </w:r>
      <w:proofErr w:type="spellStart"/>
      <w:r w:rsidRPr="009B4A3A">
        <w:rPr>
          <w:rFonts w:ascii="Tw Cen MT" w:hAnsi="Tw Cen MT" w:cs="TimesNewRomanPSMT"/>
        </w:rPr>
        <w:t>Federica</w:t>
      </w:r>
      <w:proofErr w:type="spellEnd"/>
      <w:r w:rsidRPr="009B4A3A">
        <w:rPr>
          <w:rFonts w:ascii="Tw Cen MT" w:hAnsi="Tw Cen MT" w:cs="TimesNewRomanPSMT"/>
        </w:rPr>
        <w:t xml:space="preserve"> </w:t>
      </w:r>
      <w:proofErr w:type="spellStart"/>
      <w:r w:rsidRPr="009B4A3A">
        <w:rPr>
          <w:rFonts w:ascii="Tw Cen MT" w:hAnsi="Tw Cen MT" w:cs="TimesNewRomanPSMT"/>
        </w:rPr>
        <w:t>Mogherini</w:t>
      </w:r>
      <w:proofErr w:type="spellEnd"/>
      <w:r>
        <w:rPr>
          <w:rFonts w:ascii="Tw Cen MT" w:hAnsi="Tw Cen MT" w:cs="TimesNewRomanPSMT"/>
        </w:rPr>
        <w:t>, en tant que vice-présidente de la Commission européenne, a</w:t>
      </w:r>
      <w:r w:rsidRPr="009B4A3A">
        <w:rPr>
          <w:rFonts w:ascii="Tw Cen MT" w:hAnsi="Tw Cen MT" w:cs="TimesNewRomanPSMT"/>
        </w:rPr>
        <w:t xml:space="preserve"> </w:t>
      </w:r>
      <w:hyperlink r:id="rId12" w:history="1">
        <w:r w:rsidRPr="009B4A3A">
          <w:rPr>
            <w:rStyle w:val="Lienhypertexte"/>
            <w:rFonts w:ascii="Tw Cen MT" w:hAnsi="Tw Cen MT" w:cs="TimesNewRomanPSMT"/>
          </w:rPr>
          <w:t>rappel</w:t>
        </w:r>
        <w:r>
          <w:rPr>
            <w:rStyle w:val="Lienhypertexte"/>
            <w:rFonts w:ascii="Tw Cen MT" w:hAnsi="Tw Cen MT" w:cs="TimesNewRomanPSMT"/>
          </w:rPr>
          <w:t>é</w:t>
        </w:r>
      </w:hyperlink>
      <w:r w:rsidRPr="009B4A3A">
        <w:rPr>
          <w:rFonts w:ascii="Tw Cen MT" w:hAnsi="Tw Cen MT" w:cs="TimesNewRomanPSMT"/>
        </w:rPr>
        <w:t xml:space="preserve"> elle-même en 2016 la nécessité de protéger la liberté d’</w:t>
      </w:r>
      <w:r>
        <w:rPr>
          <w:rFonts w:ascii="Tw Cen MT" w:hAnsi="Tw Cen MT" w:cs="TimesNewRomanPSMT"/>
        </w:rPr>
        <w:t>association et d’</w:t>
      </w:r>
      <w:r w:rsidRPr="009B4A3A">
        <w:rPr>
          <w:rFonts w:ascii="Tw Cen MT" w:hAnsi="Tw Cen MT" w:cs="TimesNewRomanPSMT"/>
        </w:rPr>
        <w:t>expression</w:t>
      </w:r>
      <w:r>
        <w:rPr>
          <w:rFonts w:ascii="Tw Cen MT" w:hAnsi="Tw Cen MT" w:cs="TimesNewRomanPSMT"/>
        </w:rPr>
        <w:t>, en accord avec la Convention Européenne des droits de l’Homme et la Charte des droits fondamentaux de l’UE et</w:t>
      </w:r>
      <w:r w:rsidRPr="009B4A3A">
        <w:rPr>
          <w:rFonts w:ascii="Tw Cen MT" w:hAnsi="Tw Cen MT" w:cs="TimesNewRomanPSMT"/>
        </w:rPr>
        <w:t xml:space="preserve"> même lorsque des idées </w:t>
      </w:r>
      <w:r w:rsidRPr="009B4A3A">
        <w:rPr>
          <w:rFonts w:ascii="Tw Cen MT" w:hAnsi="Tw Cen MT"/>
        </w:rPr>
        <w:t>“offensent, choquent ou dérangent l’Etat ou</w:t>
      </w:r>
      <w:r>
        <w:rPr>
          <w:rFonts w:ascii="Tw Cen MT" w:hAnsi="Tw Cen MT"/>
        </w:rPr>
        <w:t xml:space="preserve"> tout secteur de la population“.</w:t>
      </w:r>
      <w:r w:rsidRPr="009B4A3A">
        <w:rPr>
          <w:rFonts w:ascii="Tw Cen MT" w:hAnsi="Tw Cen MT"/>
        </w:rPr>
        <w:t xml:space="preserve"> </w:t>
      </w:r>
    </w:p>
    <w:p w:rsidR="0064563E" w:rsidRPr="009B4A3A" w:rsidRDefault="0064563E" w:rsidP="0064563E">
      <w:pPr>
        <w:autoSpaceDE w:val="0"/>
        <w:autoSpaceDN w:val="0"/>
        <w:adjustRightInd w:val="0"/>
        <w:jc w:val="both"/>
        <w:rPr>
          <w:rFonts w:ascii="Tw Cen MT" w:hAnsi="Tw Cen MT" w:cs="TimesNewRomanPSMT"/>
        </w:rPr>
      </w:pPr>
    </w:p>
    <w:p w:rsidR="0064563E" w:rsidRDefault="0064563E" w:rsidP="0064563E">
      <w:pPr>
        <w:autoSpaceDE w:val="0"/>
        <w:autoSpaceDN w:val="0"/>
        <w:adjustRightInd w:val="0"/>
        <w:jc w:val="both"/>
        <w:rPr>
          <w:rFonts w:ascii="Tw Cen MT" w:hAnsi="Tw Cen MT" w:cs="TimesNewRomanPSMT"/>
        </w:rPr>
      </w:pPr>
      <w:r w:rsidRPr="009B4A3A">
        <w:rPr>
          <w:rFonts w:ascii="Tw Cen MT" w:hAnsi="Tw Cen MT" w:cs="TimesNewRomanPSMT"/>
        </w:rPr>
        <w:t>Mais l’Etat d’Israël est prêt à utiliser tous les moyens, financiers, diplomatiques ou autres pour s’opposer à ce droit</w:t>
      </w:r>
      <w:r>
        <w:rPr>
          <w:rFonts w:ascii="Tw Cen MT" w:hAnsi="Tw Cen MT" w:cs="TimesNewRomanPSMT"/>
        </w:rPr>
        <w:t>, considérant le BDS comme une « menace stratégique ». Cette offensive intervient dans un contexte de menaces à l’encontre des défenseurs des droits palestiniens, israéliens mais également internationaux. Une loi adoptée par la Knesset le 6 mars 2017 interdit par exemple l’entrée sur son territoire (et de fait en Palestine) à des individus soutenant quelconque boycott d’Israël, y compris ses colonies illégales.</w:t>
      </w:r>
    </w:p>
    <w:p w:rsidR="0064563E" w:rsidRPr="009B4A3A" w:rsidRDefault="0064563E" w:rsidP="0064563E">
      <w:pPr>
        <w:autoSpaceDE w:val="0"/>
        <w:autoSpaceDN w:val="0"/>
        <w:adjustRightInd w:val="0"/>
        <w:jc w:val="both"/>
        <w:rPr>
          <w:rFonts w:ascii="Tw Cen MT" w:hAnsi="Tw Cen MT" w:cs="TimesNewRomanPSMT"/>
        </w:rPr>
      </w:pPr>
    </w:p>
    <w:p w:rsidR="0064563E" w:rsidRDefault="0064563E" w:rsidP="0064563E">
      <w:pPr>
        <w:autoSpaceDE w:val="0"/>
        <w:autoSpaceDN w:val="0"/>
        <w:adjustRightInd w:val="0"/>
        <w:jc w:val="both"/>
        <w:rPr>
          <w:rFonts w:ascii="Tw Cen MT" w:hAnsi="Tw Cen MT" w:cs="Calibri"/>
          <w:lang w:val="fr"/>
        </w:rPr>
      </w:pPr>
      <w:r>
        <w:rPr>
          <w:rFonts w:ascii="Tw Cen MT" w:hAnsi="Tw Cen MT" w:cs="Calibri"/>
        </w:rPr>
        <w:t>En France</w:t>
      </w:r>
      <w:r w:rsidRPr="009B4A3A">
        <w:rPr>
          <w:rFonts w:ascii="Tw Cen MT" w:hAnsi="Tw Cen MT" w:cs="Calibri"/>
          <w:lang w:val="fr"/>
        </w:rPr>
        <w:t xml:space="preserve">, la circulaire CRIM-AP n°09-900-A4 dite « Alliot-Marie » du 12 février 2010 incite à poursuivre les individus appelant au boycott de produits israéliens. Mais cette « circulaire » repose sur un détournement de la loi du 29 juillet 1881 relative à la liberté de la presse. </w:t>
      </w:r>
      <w:r>
        <w:rPr>
          <w:rFonts w:ascii="Tw Cen MT" w:hAnsi="Tw Cen MT" w:cs="Calibri"/>
          <w:lang w:val="fr"/>
        </w:rPr>
        <w:t>En octobre 2015</w:t>
      </w:r>
      <w:r w:rsidRPr="009B4A3A">
        <w:rPr>
          <w:rFonts w:ascii="Tw Cen MT" w:hAnsi="Tw Cen MT" w:cs="Calibri"/>
          <w:lang w:val="fr"/>
        </w:rPr>
        <w:t>, la Cour de Cassation a rendu plusieurs arrêts allant en ce sens</w:t>
      </w:r>
      <w:r>
        <w:rPr>
          <w:rFonts w:ascii="Tw Cen MT" w:hAnsi="Tw Cen MT" w:cs="Calibri"/>
          <w:lang w:val="fr"/>
        </w:rPr>
        <w:t>. La France est donc devenue l’un des</w:t>
      </w:r>
      <w:r w:rsidRPr="009B4A3A">
        <w:rPr>
          <w:rFonts w:ascii="Tw Cen MT" w:hAnsi="Tw Cen MT" w:cs="Calibri"/>
          <w:lang w:val="fr"/>
        </w:rPr>
        <w:t xml:space="preserve"> seul</w:t>
      </w:r>
      <w:r>
        <w:rPr>
          <w:rFonts w:ascii="Tw Cen MT" w:hAnsi="Tw Cen MT" w:cs="Calibri"/>
          <w:lang w:val="fr"/>
        </w:rPr>
        <w:t>s</w:t>
      </w:r>
      <w:r w:rsidRPr="009B4A3A">
        <w:rPr>
          <w:rFonts w:ascii="Tw Cen MT" w:hAnsi="Tw Cen MT" w:cs="Calibri"/>
          <w:lang w:val="fr"/>
        </w:rPr>
        <w:t xml:space="preserve"> pays au monde à criminaliser l’appel au boycott, après une interprétation de la loi française tout à fait contestable, comme l’ont </w:t>
      </w:r>
      <w:hyperlink r:id="rId13" w:history="1">
        <w:r w:rsidRPr="00154700">
          <w:rPr>
            <w:rStyle w:val="Lienhypertexte"/>
            <w:rFonts w:ascii="Tw Cen MT" w:hAnsi="Tw Cen MT" w:cs="Calibri"/>
            <w:lang w:val="fr"/>
          </w:rPr>
          <w:t>démontré</w:t>
        </w:r>
      </w:hyperlink>
      <w:r w:rsidRPr="009B4A3A">
        <w:rPr>
          <w:rFonts w:ascii="Tw Cen MT" w:hAnsi="Tw Cen MT" w:cs="Calibri"/>
          <w:lang w:val="fr"/>
        </w:rPr>
        <w:t xml:space="preserve"> plusieurs juristes. </w:t>
      </w:r>
    </w:p>
    <w:p w:rsidR="0064563E" w:rsidRDefault="0064563E" w:rsidP="0064563E">
      <w:pPr>
        <w:autoSpaceDE w:val="0"/>
        <w:autoSpaceDN w:val="0"/>
        <w:adjustRightInd w:val="0"/>
        <w:jc w:val="both"/>
        <w:rPr>
          <w:rFonts w:ascii="Tw Cen MT" w:hAnsi="Tw Cen MT" w:cs="Calibri"/>
          <w:lang w:val="fr"/>
        </w:rPr>
      </w:pPr>
    </w:p>
    <w:p w:rsidR="0064563E" w:rsidRDefault="0064563E" w:rsidP="0064563E">
      <w:pPr>
        <w:autoSpaceDE w:val="0"/>
        <w:autoSpaceDN w:val="0"/>
        <w:adjustRightInd w:val="0"/>
        <w:jc w:val="both"/>
        <w:rPr>
          <w:rFonts w:ascii="Tw Cen MT" w:hAnsi="Tw Cen MT" w:cs="Calibri"/>
          <w:lang w:val="fr"/>
        </w:rPr>
      </w:pPr>
      <w:r>
        <w:rPr>
          <w:rFonts w:ascii="Tw Cen MT" w:hAnsi="Tw Cen MT" w:cs="Calibri"/>
          <w:lang w:val="fr"/>
        </w:rPr>
        <w:t xml:space="preserve">En accord avec la Constitution française et le corpus juridique européen qui protègent la liberté d’expression, le gouvernement français doit abroger la circulaire « Alliot-Marie » et se doit de protéger les militants du BDS comme tout défenseur des droits, en conformité avec la Déclaration des Nations unies sur les défenseurs des droits de l’Homme. </w:t>
      </w:r>
    </w:p>
    <w:p w:rsidR="0064563E" w:rsidRDefault="0064563E" w:rsidP="0064563E">
      <w:pPr>
        <w:autoSpaceDE w:val="0"/>
        <w:autoSpaceDN w:val="0"/>
        <w:adjustRightInd w:val="0"/>
        <w:jc w:val="both"/>
        <w:rPr>
          <w:rFonts w:ascii="Tw Cen MT" w:hAnsi="Tw Cen MT" w:cs="Calibri"/>
          <w:lang w:val="fr"/>
        </w:rPr>
      </w:pPr>
    </w:p>
    <w:p w:rsidR="00877A94" w:rsidRPr="0064563E" w:rsidRDefault="0064563E" w:rsidP="0064563E">
      <w:pPr>
        <w:autoSpaceDE w:val="0"/>
        <w:autoSpaceDN w:val="0"/>
        <w:adjustRightInd w:val="0"/>
        <w:jc w:val="both"/>
        <w:rPr>
          <w:rFonts w:ascii="Tw Cen MT" w:hAnsi="Tw Cen MT" w:cs="Calibri"/>
          <w:lang w:val="fr"/>
        </w:rPr>
      </w:pPr>
      <w:r>
        <w:rPr>
          <w:rFonts w:ascii="Tw Cen MT" w:hAnsi="Tw Cen MT" w:cs="Calibri"/>
          <w:lang w:val="fr"/>
        </w:rPr>
        <w:t>XY demande à la ministre de la Justice quelles démarches elle compte entreprendre pour garantir le droit au boycott.</w:t>
      </w:r>
    </w:p>
    <w:sectPr w:rsidR="00877A94" w:rsidRPr="0064563E" w:rsidSect="0064563E">
      <w:footerReference w:type="default" r:id="rId14"/>
      <w:pgSz w:w="11900" w:h="16840"/>
      <w:pgMar w:top="142" w:right="985" w:bottom="737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5E5" w:rsidRDefault="003355E5" w:rsidP="003355E5">
      <w:r>
        <w:separator/>
      </w:r>
    </w:p>
  </w:endnote>
  <w:endnote w:type="continuationSeparator" w:id="0">
    <w:p w:rsidR="003355E5" w:rsidRDefault="003355E5" w:rsidP="0033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00"/>
    <w:family w:val="roman"/>
    <w:notTrueType/>
    <w:pitch w:val="default"/>
  </w:font>
  <w:font w:name="UniversLTStd-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4C" w:rsidRPr="0064563E" w:rsidRDefault="0060744C" w:rsidP="0060744C">
    <w:pPr>
      <w:ind w:left="1276"/>
      <w:jc w:val="center"/>
      <w:rPr>
        <w:rFonts w:asciiTheme="majorHAnsi" w:hAnsiTheme="majorHAnsi"/>
        <w:sz w:val="20"/>
        <w:szCs w:val="22"/>
      </w:rPr>
    </w:pPr>
    <w:r w:rsidRPr="0064563E">
      <w:rPr>
        <w:rFonts w:asciiTheme="majorHAnsi" w:hAnsiTheme="majorHAnsi"/>
        <w:sz w:val="20"/>
        <w:szCs w:val="22"/>
      </w:rPr>
      <w:t xml:space="preserve">Plateforme des ONG françaises pour la Palestine – </w:t>
    </w:r>
    <w:hyperlink r:id="rId1" w:history="1">
      <w:r w:rsidRPr="0064563E">
        <w:rPr>
          <w:rStyle w:val="Lienhypertexte"/>
          <w:rFonts w:asciiTheme="majorHAnsi" w:hAnsiTheme="majorHAnsi"/>
          <w:sz w:val="20"/>
          <w:szCs w:val="22"/>
        </w:rPr>
        <w:t>http://plateforme-palestine.org</w:t>
      </w:r>
    </w:hyperlink>
  </w:p>
  <w:p w:rsidR="0060744C" w:rsidRPr="0064563E" w:rsidRDefault="0060744C" w:rsidP="0060744C">
    <w:pPr>
      <w:ind w:left="1276"/>
      <w:jc w:val="center"/>
      <w:rPr>
        <w:rFonts w:asciiTheme="majorHAnsi" w:hAnsiTheme="majorHAnsi"/>
        <w:sz w:val="20"/>
        <w:szCs w:val="22"/>
      </w:rPr>
    </w:pPr>
    <w:r w:rsidRPr="0064563E">
      <w:rPr>
        <w:rFonts w:asciiTheme="majorHAnsi" w:hAnsiTheme="majorHAnsi"/>
        <w:sz w:val="20"/>
        <w:szCs w:val="22"/>
      </w:rPr>
      <w:t xml:space="preserve">14, passage Dubail - 75010 Paris - 01 40 36 41 46 - </w:t>
    </w:r>
    <w:hyperlink r:id="rId2" w:history="1">
      <w:r w:rsidRPr="0064563E">
        <w:rPr>
          <w:rStyle w:val="Lienhypertexte"/>
          <w:rFonts w:asciiTheme="majorHAnsi" w:hAnsiTheme="majorHAnsi"/>
          <w:sz w:val="20"/>
          <w:szCs w:val="22"/>
        </w:rPr>
        <w:t>contact@plateforme-palestine.org</w:t>
      </w:r>
    </w:hyperlink>
  </w:p>
  <w:p w:rsidR="003355E5" w:rsidRPr="000F590F" w:rsidRDefault="003355E5" w:rsidP="0060744C">
    <w:pPr>
      <w:pStyle w:val="texte"/>
      <w:spacing w:line="240" w:lineRule="auto"/>
      <w:jc w:val="both"/>
      <w:rPr>
        <w:rFonts w:hint="eastAsia"/>
        <w:sz w:val="12"/>
        <w:szCs w:val="12"/>
      </w:rPr>
    </w:pPr>
  </w:p>
  <w:p w:rsidR="003355E5" w:rsidRDefault="003355E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5E5" w:rsidRDefault="003355E5" w:rsidP="003355E5">
      <w:r>
        <w:separator/>
      </w:r>
    </w:p>
  </w:footnote>
  <w:footnote w:type="continuationSeparator" w:id="0">
    <w:p w:rsidR="003355E5" w:rsidRDefault="003355E5" w:rsidP="00335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4A47"/>
    <w:multiLevelType w:val="hybridMultilevel"/>
    <w:tmpl w:val="D52A5040"/>
    <w:lvl w:ilvl="0" w:tplc="64AC86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97E18"/>
    <w:multiLevelType w:val="hybridMultilevel"/>
    <w:tmpl w:val="5E2E97F0"/>
    <w:lvl w:ilvl="0" w:tplc="64AC86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B7A93"/>
    <w:multiLevelType w:val="multilevel"/>
    <w:tmpl w:val="5ECC331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284"/>
  <w:drawingGridVerticalSpacing w:val="284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EF"/>
    <w:rsid w:val="000D538D"/>
    <w:rsid w:val="000F590F"/>
    <w:rsid w:val="00111BCA"/>
    <w:rsid w:val="00175B7B"/>
    <w:rsid w:val="00184F9D"/>
    <w:rsid w:val="001972B0"/>
    <w:rsid w:val="001C2DC9"/>
    <w:rsid w:val="001E75FE"/>
    <w:rsid w:val="00246385"/>
    <w:rsid w:val="00295228"/>
    <w:rsid w:val="002A02FB"/>
    <w:rsid w:val="003355E5"/>
    <w:rsid w:val="003969D0"/>
    <w:rsid w:val="003A4C64"/>
    <w:rsid w:val="003D5F6E"/>
    <w:rsid w:val="00410B71"/>
    <w:rsid w:val="00462DDD"/>
    <w:rsid w:val="00483A67"/>
    <w:rsid w:val="004A5D80"/>
    <w:rsid w:val="004A6BCB"/>
    <w:rsid w:val="004F134F"/>
    <w:rsid w:val="0053042D"/>
    <w:rsid w:val="00541E70"/>
    <w:rsid w:val="0054500F"/>
    <w:rsid w:val="00550230"/>
    <w:rsid w:val="0060744C"/>
    <w:rsid w:val="006074BF"/>
    <w:rsid w:val="00616CAF"/>
    <w:rsid w:val="0064563E"/>
    <w:rsid w:val="006545EF"/>
    <w:rsid w:val="00685794"/>
    <w:rsid w:val="006A7DBF"/>
    <w:rsid w:val="00740728"/>
    <w:rsid w:val="007646A6"/>
    <w:rsid w:val="00803883"/>
    <w:rsid w:val="00877A94"/>
    <w:rsid w:val="008A1C59"/>
    <w:rsid w:val="00957594"/>
    <w:rsid w:val="009B6A30"/>
    <w:rsid w:val="009D5C6B"/>
    <w:rsid w:val="00A24BDE"/>
    <w:rsid w:val="00A32949"/>
    <w:rsid w:val="00A60392"/>
    <w:rsid w:val="00B92F59"/>
    <w:rsid w:val="00BE5A8E"/>
    <w:rsid w:val="00BF6647"/>
    <w:rsid w:val="00C129A8"/>
    <w:rsid w:val="00C12F30"/>
    <w:rsid w:val="00C734CD"/>
    <w:rsid w:val="00CF29D0"/>
    <w:rsid w:val="00D22F4B"/>
    <w:rsid w:val="00D35680"/>
    <w:rsid w:val="00D464E4"/>
    <w:rsid w:val="00DB1B51"/>
    <w:rsid w:val="00DC646D"/>
    <w:rsid w:val="00DD41DA"/>
    <w:rsid w:val="00DF0E4E"/>
    <w:rsid w:val="00E0145E"/>
    <w:rsid w:val="00E539E1"/>
    <w:rsid w:val="00E864EE"/>
    <w:rsid w:val="00E94776"/>
    <w:rsid w:val="00EC0C33"/>
    <w:rsid w:val="00F12180"/>
    <w:rsid w:val="00F23DB5"/>
    <w:rsid w:val="00F50F47"/>
    <w:rsid w:val="00FE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A002CA84-99F5-4636-BD62-9F1693B6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C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45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5EF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E539E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xte">
    <w:name w:val="texte"/>
    <w:basedOn w:val="Normal"/>
    <w:uiPriority w:val="99"/>
    <w:rsid w:val="006A7DB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UniversLTStd-Light" w:hAnsi="UniversLTStd-Light" w:cs="UniversLTStd-Light"/>
      <w:color w:val="000000"/>
      <w:sz w:val="18"/>
      <w:szCs w:val="18"/>
    </w:rPr>
  </w:style>
  <w:style w:type="paragraph" w:customStyle="1" w:styleId="Standard">
    <w:name w:val="Standard"/>
    <w:rsid w:val="001E75FE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color w:val="000000"/>
      <w:kern w:val="3"/>
      <w:lang w:val="en-US" w:bidi="en-US"/>
    </w:rPr>
  </w:style>
  <w:style w:type="paragraph" w:styleId="En-tte">
    <w:name w:val="header"/>
    <w:basedOn w:val="Normal"/>
    <w:link w:val="En-tteCar"/>
    <w:uiPriority w:val="99"/>
    <w:unhideWhenUsed/>
    <w:rsid w:val="003355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55E5"/>
  </w:style>
  <w:style w:type="paragraph" w:styleId="Pieddepage">
    <w:name w:val="footer"/>
    <w:basedOn w:val="Normal"/>
    <w:link w:val="PieddepageCar"/>
    <w:uiPriority w:val="99"/>
    <w:unhideWhenUsed/>
    <w:rsid w:val="003355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55E5"/>
  </w:style>
  <w:style w:type="paragraph" w:styleId="NormalWeb">
    <w:name w:val="Normal (Web)"/>
    <w:basedOn w:val="Normal"/>
    <w:uiPriority w:val="99"/>
    <w:unhideWhenUsed/>
    <w:rsid w:val="00B92F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95759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C2DC9"/>
    <w:pPr>
      <w:widowControl w:val="0"/>
      <w:suppressAutoHyphens/>
      <w:ind w:left="708"/>
    </w:pPr>
    <w:rPr>
      <w:rFonts w:ascii="Times New Roman" w:eastAsia="SimSun" w:hAnsi="Times New Roman" w:cs="Times New Roman"/>
      <w:kern w:val="16"/>
      <w:lang w:eastAsia="zh-CN"/>
    </w:rPr>
  </w:style>
  <w:style w:type="character" w:styleId="lev">
    <w:name w:val="Strong"/>
    <w:uiPriority w:val="22"/>
    <w:qFormat/>
    <w:rsid w:val="00645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liberation.fr/planete/2016/04/24/l-appel-pacifique-au-boycott-un-droit-en-danger_14483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ateforme-palestine.org/Federica-Mogherini-repond-a-la-Coordination-europenne-des-comites-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dh.org/fr/regions/maghreb-moyen-orient/israel-palestine/declaration-de-la-fidh-sur-le-droit-de-participer-et-a-appeler-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mnesty.fr/Nos-campagnes/Liberte-expression/Actualites/Israel-doit-proteger-les-defenseurs-des-droits-humains-18155?prehome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dh.org/fr/regions/maghreb-moyen-orient/israel-palestine/declaration-de-la-fidh-sur-le-droit-de-participer-et-a-appeler-a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plateforme-palestine.org" TargetMode="External"/><Relationship Id="rId1" Type="http://schemas.openxmlformats.org/officeDocument/2006/relationships/hyperlink" Target="http://plateforme-palest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9D92CD-DD1E-46F4-A083-321FA772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620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</dc:creator>
  <cp:lastModifiedBy>Alice</cp:lastModifiedBy>
  <cp:revision>12</cp:revision>
  <cp:lastPrinted>2015-11-19T10:21:00Z</cp:lastPrinted>
  <dcterms:created xsi:type="dcterms:W3CDTF">2015-12-30T17:22:00Z</dcterms:created>
  <dcterms:modified xsi:type="dcterms:W3CDTF">2017-10-04T14:17:00Z</dcterms:modified>
</cp:coreProperties>
</file>